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76"/>
        <w:jc w:val="left"/>
        <w:rPr>
          <w:rFonts w:hint="eastAsia" w:ascii="黑体" w:hAnsi="黑体" w:eastAsia="黑体" w:cs="黑体"/>
          <w:color w:val="auto"/>
          <w:szCs w:val="32"/>
          <w:highlight w:val="none"/>
        </w:rPr>
      </w:pPr>
      <w:r>
        <w:rPr>
          <w:rFonts w:hint="eastAsia" w:ascii="黑体" w:hAnsi="黑体" w:eastAsia="黑体" w:cs="黑体"/>
          <w:color w:val="auto"/>
          <w:szCs w:val="32"/>
          <w:highlight w:val="none"/>
        </w:rPr>
        <w:t>附件1</w:t>
      </w:r>
    </w:p>
    <w:p>
      <w:pPr>
        <w:tabs>
          <w:tab w:val="left" w:pos="1780"/>
          <w:tab w:val="right" w:pos="8693"/>
        </w:tabs>
        <w:spacing w:line="450" w:lineRule="exact"/>
        <w:ind w:right="276"/>
        <w:jc w:val="left"/>
        <w:rPr>
          <w:rFonts w:ascii="黑体" w:hAnsi="黑体" w:eastAsia="黑体" w:cs="黑体"/>
          <w:szCs w:val="32"/>
        </w:rPr>
      </w:pPr>
    </w:p>
    <w:p>
      <w:pPr>
        <w:spacing w:line="600" w:lineRule="exact"/>
        <w:jc w:val="center"/>
        <w:rPr>
          <w:rFonts w:hint="default" w:ascii="方正小标宋简体" w:hAnsi="华文中宋" w:eastAsia="方正小标宋简体"/>
          <w:b/>
          <w:bCs/>
          <w:sz w:val="44"/>
          <w:szCs w:val="36"/>
          <w:lang w:val="en-US" w:eastAsia="zh-CN"/>
        </w:rPr>
      </w:pPr>
      <w:r>
        <w:rPr>
          <w:rFonts w:hint="eastAsia" w:ascii="方正小标宋简体" w:hAnsi="华文中宋" w:eastAsia="方正小标宋简体"/>
          <w:b w:val="0"/>
          <w:bCs w:val="0"/>
          <w:sz w:val="44"/>
          <w:szCs w:val="36"/>
          <w:lang w:val="en-US" w:eastAsia="zh-CN"/>
        </w:rPr>
        <w:t>中小学德育</w:t>
      </w:r>
      <w:r>
        <w:rPr>
          <w:rFonts w:hint="eastAsia" w:ascii="方正小标宋简体" w:hAnsi="华文中宋" w:eastAsia="方正小标宋简体" w:cs="Times New Roman"/>
          <w:b w:val="0"/>
          <w:bCs w:val="0"/>
          <w:sz w:val="44"/>
          <w:szCs w:val="36"/>
          <w:lang w:val="en-US" w:eastAsia="zh-CN"/>
        </w:rPr>
        <w:t>一体化</w:t>
      </w:r>
      <w:r>
        <w:rPr>
          <w:rFonts w:hint="eastAsia" w:ascii="方正小标宋简体" w:hAnsi="华文中宋" w:eastAsia="方正小标宋简体"/>
          <w:b w:val="0"/>
          <w:bCs w:val="0"/>
          <w:sz w:val="44"/>
          <w:szCs w:val="36"/>
          <w:lang w:val="en-US" w:eastAsia="zh-CN"/>
        </w:rPr>
        <w:t>实践案例征集活动方案</w:t>
      </w:r>
    </w:p>
    <w:p>
      <w:pPr>
        <w:spacing w:line="600" w:lineRule="exact"/>
        <w:ind w:firstLine="640" w:firstLineChars="200"/>
        <w:rPr>
          <w:rFonts w:hint="eastAsia" w:ascii="黑体" w:hAnsi="黑体" w:eastAsia="黑体"/>
          <w:bCs/>
          <w:sz w:val="32"/>
          <w:szCs w:val="32"/>
        </w:rPr>
      </w:pPr>
    </w:p>
    <w:p>
      <w:pPr>
        <w:spacing w:line="560" w:lineRule="exact"/>
        <w:ind w:firstLine="640" w:firstLineChars="200"/>
        <w:rPr>
          <w:rFonts w:hint="eastAsia"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rPr>
        <w:t>一、</w:t>
      </w:r>
      <w:r>
        <w:rPr>
          <w:rFonts w:hint="eastAsia" w:ascii="黑体" w:hAnsi="黑体" w:eastAsia="黑体" w:cs="黑体"/>
          <w:bCs w:val="0"/>
          <w:color w:val="auto"/>
          <w:sz w:val="32"/>
          <w:szCs w:val="32"/>
          <w:highlight w:val="none"/>
          <w:lang w:val="en-US" w:eastAsia="zh-CN"/>
        </w:rPr>
        <w:t>指导思想</w:t>
      </w:r>
    </w:p>
    <w:p>
      <w:pPr>
        <w:spacing w:line="560" w:lineRule="exact"/>
        <w:ind w:firstLine="640" w:firstLineChars="200"/>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sz w:val="32"/>
          <w:szCs w:val="24"/>
          <w:highlight w:val="none"/>
          <w:lang w:val="en-US" w:eastAsia="zh-CN"/>
        </w:rPr>
        <w:t>以习近平新时代中国特色社会主义思想为指导，深入学习贯彻</w:t>
      </w:r>
      <w:r>
        <w:rPr>
          <w:rFonts w:hint="eastAsia" w:ascii="仿宋_GB2312" w:hAnsi="仿宋_GB2312" w:eastAsia="仿宋_GB2312" w:cs="仿宋_GB2312"/>
          <w:color w:val="auto"/>
          <w:szCs w:val="24"/>
          <w:highlight w:val="none"/>
          <w:lang w:val="en-US" w:eastAsia="zh-CN"/>
        </w:rPr>
        <w:t>习总书记关于思想政治教育的重要论述和思想政治理论课教师座谈会精神，全面贯彻全国教育大会</w:t>
      </w:r>
      <w:r>
        <w:rPr>
          <w:rFonts w:hint="eastAsia" w:ascii="仿宋_GB2312" w:hAnsi="仿宋_GB2312" w:eastAsia="仿宋_GB2312" w:cs="仿宋_GB2312"/>
          <w:color w:val="auto"/>
          <w:sz w:val="32"/>
          <w:szCs w:val="24"/>
          <w:highlight w:val="none"/>
          <w:lang w:val="en-US" w:eastAsia="zh-CN"/>
        </w:rPr>
        <w:t>和《中小学德育工作指南》</w:t>
      </w:r>
      <w:r>
        <w:rPr>
          <w:rFonts w:hint="eastAsia" w:ascii="仿宋_GB2312" w:hAnsi="仿宋_GB2312" w:eastAsia="仿宋_GB2312" w:cs="仿宋_GB2312"/>
          <w:color w:val="auto"/>
          <w:szCs w:val="32"/>
          <w:highlight w:val="none"/>
        </w:rPr>
        <w:t>《新时代学校思想政治理论课改革创新实施方案》</w:t>
      </w:r>
      <w:r>
        <w:rPr>
          <w:rFonts w:hint="eastAsia" w:ascii="仿宋_GB2312" w:hAnsi="仿宋_GB2312" w:eastAsia="仿宋_GB2312" w:cs="仿宋_GB2312"/>
          <w:color w:val="auto"/>
          <w:sz w:val="32"/>
          <w:szCs w:val="24"/>
          <w:highlight w:val="none"/>
          <w:lang w:val="en-US" w:eastAsia="zh-CN"/>
        </w:rPr>
        <w:t>等相关要求，落实立德树人根本任务，大力推进中小学德育一体化建设，推动思政课建设内涵式发展，发掘各</w:t>
      </w:r>
      <w:r>
        <w:rPr>
          <w:rFonts w:hint="eastAsia" w:ascii="仿宋_GB2312" w:hAnsi="仿宋_GB2312" w:eastAsia="仿宋_GB2312" w:cs="仿宋_GB2312"/>
          <w:color w:val="auto"/>
          <w:sz w:val="32"/>
          <w:szCs w:val="24"/>
          <w:highlight w:val="none"/>
          <w:shd w:val="clear" w:color="auto" w:fill="auto"/>
          <w:lang w:val="en-US" w:eastAsia="zh-CN"/>
        </w:rPr>
        <w:t>相关学校</w:t>
      </w:r>
      <w:r>
        <w:rPr>
          <w:rFonts w:hint="eastAsia" w:ascii="仿宋_GB2312" w:hAnsi="仿宋_GB2312" w:eastAsia="仿宋_GB2312" w:cs="仿宋_GB2312"/>
          <w:color w:val="auto"/>
          <w:sz w:val="32"/>
          <w:szCs w:val="24"/>
          <w:highlight w:val="none"/>
          <w:lang w:val="en-US" w:eastAsia="zh-CN"/>
        </w:rPr>
        <w:t>德育工作实践经验，提升学校德育工作水平，</w:t>
      </w:r>
      <w:r>
        <w:rPr>
          <w:rFonts w:hint="eastAsia" w:ascii="仿宋_GB2312" w:hAnsi="仿宋_GB2312" w:eastAsia="仿宋_GB2312" w:cs="仿宋_GB2312"/>
          <w:color w:val="auto"/>
          <w:sz w:val="32"/>
          <w:szCs w:val="24"/>
          <w:highlight w:val="none"/>
        </w:rPr>
        <w:t>特制定本</w:t>
      </w:r>
      <w:r>
        <w:rPr>
          <w:rFonts w:hint="eastAsia" w:ascii="仿宋_GB2312" w:hAnsi="仿宋_GB2312" w:eastAsia="仿宋_GB2312" w:cs="仿宋_GB2312"/>
          <w:color w:val="auto"/>
          <w:sz w:val="32"/>
          <w:szCs w:val="24"/>
          <w:highlight w:val="none"/>
          <w:lang w:val="en-US" w:eastAsia="zh-CN"/>
        </w:rPr>
        <w:t>征集</w:t>
      </w:r>
      <w:r>
        <w:rPr>
          <w:rFonts w:hint="eastAsia" w:ascii="仿宋_GB2312" w:hAnsi="仿宋_GB2312" w:eastAsia="仿宋_GB2312" w:cs="仿宋_GB2312"/>
          <w:color w:val="auto"/>
          <w:sz w:val="32"/>
          <w:szCs w:val="24"/>
          <w:highlight w:val="none"/>
        </w:rPr>
        <w:t>方案。</w:t>
      </w:r>
    </w:p>
    <w:p>
      <w:pPr>
        <w:spacing w:line="560" w:lineRule="exact"/>
        <w:ind w:firstLine="640" w:firstLineChars="200"/>
        <w:rPr>
          <w:rFonts w:hint="eastAsia"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lang w:val="en-US" w:eastAsia="zh-CN"/>
        </w:rPr>
        <w:t>二</w:t>
      </w:r>
      <w:r>
        <w:rPr>
          <w:rFonts w:hint="eastAsia" w:ascii="黑体" w:hAnsi="黑体" w:eastAsia="黑体" w:cs="黑体"/>
          <w:bCs w:val="0"/>
          <w:color w:val="auto"/>
          <w:sz w:val="32"/>
          <w:szCs w:val="32"/>
          <w:highlight w:val="none"/>
        </w:rPr>
        <w:t>、</w:t>
      </w:r>
      <w:r>
        <w:rPr>
          <w:rFonts w:hint="eastAsia" w:ascii="黑体" w:hAnsi="黑体" w:eastAsia="黑体" w:cs="黑体"/>
          <w:bCs w:val="0"/>
          <w:color w:val="auto"/>
          <w:sz w:val="32"/>
          <w:szCs w:val="32"/>
          <w:highlight w:val="none"/>
          <w:lang w:val="en-US" w:eastAsia="zh-CN"/>
        </w:rPr>
        <w:t>征集主题</w:t>
      </w:r>
    </w:p>
    <w:p>
      <w:pPr>
        <w:spacing w:line="560" w:lineRule="exact"/>
        <w:ind w:firstLine="640" w:firstLineChars="200"/>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本次征集活动以“中小学德育一体化”为主题，全面征集</w:t>
      </w:r>
      <w:r>
        <w:rPr>
          <w:rFonts w:hint="eastAsia" w:ascii="仿宋_GB2312" w:hAnsi="仿宋_GB2312" w:eastAsia="仿宋_GB2312" w:cs="仿宋_GB2312"/>
          <w:color w:val="auto"/>
          <w:sz w:val="32"/>
          <w:szCs w:val="24"/>
          <w:highlight w:val="none"/>
          <w:shd w:val="clear" w:color="auto" w:fill="auto"/>
          <w:lang w:val="en-US" w:eastAsia="zh-CN"/>
        </w:rPr>
        <w:t>各相关学校</w:t>
      </w:r>
      <w:r>
        <w:rPr>
          <w:rFonts w:hint="eastAsia" w:ascii="仿宋_GB2312" w:hAnsi="仿宋_GB2312" w:eastAsia="仿宋_GB2312" w:cs="仿宋_GB2312"/>
          <w:color w:val="auto"/>
          <w:sz w:val="32"/>
          <w:szCs w:val="24"/>
          <w:highlight w:val="none"/>
          <w:lang w:val="en-US" w:eastAsia="zh-CN"/>
        </w:rPr>
        <w:t>在理想信念教育、社会主义核心价值观教育、中华优秀传统文化教育、革命传统教育、生态文明教育、心理健康教育等德育工作关键环节形成的优秀实践案例。案例需体现学校德育一体化工作实践中，在完善学段纵向衔接、学科横向贯通、教育内容逐层递进、螺旋上升的一致性连贯体系构建方面的实践经验与创新做法，</w:t>
      </w:r>
      <w:r>
        <w:rPr>
          <w:rFonts w:hint="eastAsia" w:ascii="仿宋_GB2312" w:hAnsi="仿宋_GB2312" w:eastAsia="仿宋_GB2312" w:cs="仿宋_GB2312"/>
          <w:color w:val="auto"/>
          <w:sz w:val="32"/>
          <w:szCs w:val="24"/>
          <w:highlight w:val="none"/>
        </w:rPr>
        <w:t>突出</w:t>
      </w:r>
      <w:r>
        <w:rPr>
          <w:rFonts w:hint="eastAsia" w:ascii="仿宋_GB2312" w:hAnsi="仿宋_GB2312" w:eastAsia="仿宋_GB2312" w:cs="仿宋_GB2312"/>
          <w:color w:val="auto"/>
          <w:sz w:val="32"/>
          <w:szCs w:val="24"/>
          <w:highlight w:val="none"/>
          <w:lang w:val="en-US" w:eastAsia="zh-CN"/>
        </w:rPr>
        <w:t>案例价值理念的正确性、方案的系统性、解决问题的针对性、实践内容的可推广性，促进学生核心素养提升和全面发展。</w:t>
      </w:r>
    </w:p>
    <w:p>
      <w:p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rPr>
        <w:t>（一）</w:t>
      </w:r>
      <w:r>
        <w:rPr>
          <w:rFonts w:hint="eastAsia" w:ascii="楷体_GB2312" w:hAnsi="楷体_GB2312" w:eastAsia="楷体_GB2312" w:cs="楷体_GB2312"/>
          <w:bCs w:val="0"/>
          <w:color w:val="auto"/>
          <w:sz w:val="32"/>
          <w:szCs w:val="32"/>
          <w:highlight w:val="none"/>
          <w:lang w:val="en-US" w:eastAsia="zh-CN"/>
        </w:rPr>
        <w:t>课程育人案例</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以思政课内涵式发展为主线，开展的课程建设与教学实践。包括但不限于：以中华优秀传统文化、革命文化、社会主义先进文化为核心资源开展的德育课程实践；中小学思想政治教育目标有机衔接贯通和合理梯次推进的思政课一体化课堂教学实践；生命安全与健康教育、法治教育、红色主题教育、养成教育等特色课程建设实践；德育目标跨学科融合教学实践；地方和学校德育课程融合开发实践；其他各学科课程思政实践案例等。</w:t>
      </w:r>
    </w:p>
    <w:p>
      <w:pPr>
        <w:numPr>
          <w:ilvl w:val="0"/>
          <w:numId w:val="0"/>
        </w:num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（二）文化育人案例</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结合文明校园创建活动，开展的校园文化建设实践。包括但不限于：校园环境、文化氛围、班级年级文化、书香文化等学校文化育人实践案例。</w:t>
      </w:r>
    </w:p>
    <w:p>
      <w:pPr>
        <w:numPr>
          <w:ilvl w:val="0"/>
          <w:numId w:val="0"/>
        </w:num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（三）活动育人案例</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突出活动育人，开展的主题明确、内容丰富、形式多样、吸引力强的教育活动。包括但不限于：传唱童谣、讲美德故事、时事辩论赛、模拟联合国等特色活动；结合传统节日和红色纪念日开展的主题教育活动；科技节、艺术节、运动会、读书会等校园节活动；学生会、团委、少先队等开展的主题教育活动等。</w:t>
      </w:r>
    </w:p>
    <w:p>
      <w:pPr>
        <w:numPr>
          <w:ilvl w:val="0"/>
          <w:numId w:val="0"/>
        </w:num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（四）实践育人案例</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依托社会大课堂，开展的综合实践活动。包括但不限于：有效利用主题教育基地、博物馆、相关机构等当地资源，进行爱国主义教育、国防与国家安全教育、传统文化教育等实践案例。</w:t>
      </w:r>
    </w:p>
    <w:p>
      <w:pPr>
        <w:numPr>
          <w:ilvl w:val="0"/>
          <w:numId w:val="0"/>
        </w:num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（五）管理育人案例</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以制度建设与队伍建设双线并重，开展的健全管理体系实践。包括但不限于：德育干部、思政课教师、班主任、心理教师等德育骨干队伍建设与培养；典型育人故事案例；以中小学思政课一体化教研组为依托，开展的跨学段教学备课和交流研修工作机制探索实践等。</w:t>
      </w:r>
    </w:p>
    <w:p>
      <w:pPr>
        <w:numPr>
          <w:ilvl w:val="0"/>
          <w:numId w:val="0"/>
        </w:num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（六）协同育人案例</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推动家庭、社会共同参与，开展的协同育人工作实践。包括但不限于：红色家风建设与传播；学生思想状况沟通和反馈机制；家校协同育人指导；家长与社区教育资源开发利用等。</w:t>
      </w:r>
    </w:p>
    <w:p>
      <w:pPr>
        <w:numPr>
          <w:ilvl w:val="0"/>
          <w:numId w:val="0"/>
        </w:numPr>
        <w:spacing w:line="560" w:lineRule="exact"/>
        <w:ind w:firstLine="640" w:firstLineChars="200"/>
        <w:rPr>
          <w:rFonts w:hint="eastAsia"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lang w:val="en-US" w:eastAsia="zh-CN"/>
        </w:rPr>
        <w:t>三、征集须知</w:t>
      </w:r>
    </w:p>
    <w:p>
      <w:pPr>
        <w:numPr>
          <w:ilvl w:val="0"/>
          <w:numId w:val="0"/>
        </w:numPr>
        <w:spacing w:line="560" w:lineRule="exact"/>
        <w:ind w:firstLine="640" w:firstLineChars="200"/>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rPr>
        <w:t>（</w:t>
      </w:r>
      <w:r>
        <w:rPr>
          <w:rFonts w:hint="eastAsia" w:ascii="楷体_GB2312" w:hAnsi="楷体_GB2312" w:eastAsia="楷体_GB2312" w:cs="楷体_GB2312"/>
          <w:bCs w:val="0"/>
          <w:color w:val="auto"/>
          <w:sz w:val="32"/>
          <w:szCs w:val="32"/>
          <w:highlight w:val="none"/>
          <w:lang w:val="en-US" w:eastAsia="zh-CN"/>
        </w:rPr>
        <w:t>一</w:t>
      </w:r>
      <w:r>
        <w:rPr>
          <w:rFonts w:hint="eastAsia" w:ascii="楷体_GB2312" w:hAnsi="楷体_GB2312" w:eastAsia="楷体_GB2312" w:cs="楷体_GB2312"/>
          <w:bCs w:val="0"/>
          <w:color w:val="auto"/>
          <w:sz w:val="32"/>
          <w:szCs w:val="32"/>
          <w:highlight w:val="none"/>
        </w:rPr>
        <w:t>）</w:t>
      </w:r>
      <w:r>
        <w:rPr>
          <w:rFonts w:hint="eastAsia" w:ascii="楷体_GB2312" w:hAnsi="楷体_GB2312" w:eastAsia="楷体_GB2312" w:cs="楷体_GB2312"/>
          <w:bCs w:val="0"/>
          <w:color w:val="auto"/>
          <w:sz w:val="32"/>
          <w:szCs w:val="32"/>
          <w:highlight w:val="none"/>
          <w:lang w:val="en-US" w:eastAsia="zh-CN"/>
        </w:rPr>
        <w:t>案例形式</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1.案例主件：《中小学德育一体化实践案例说明表》。</w:t>
      </w:r>
    </w:p>
    <w:p>
      <w:pPr>
        <w:widowControl/>
        <w:spacing w:line="560" w:lineRule="exact"/>
        <w:ind w:firstLine="640" w:firstLineChars="200"/>
        <w:jc w:val="both"/>
        <w:rPr>
          <w:rFonts w:hint="eastAsia" w:ascii="仿宋_GB2312" w:hAnsi="仿宋_GB2312" w:eastAsia="仿宋_GB2312" w:cs="仿宋_GB2312"/>
          <w:bCs w:val="0"/>
          <w:color w:val="auto"/>
          <w:szCs w:val="24"/>
          <w:highlight w:val="none"/>
          <w:lang w:val="en-US" w:eastAsia="zh-CN"/>
        </w:rPr>
      </w:pPr>
      <w:r>
        <w:rPr>
          <w:rFonts w:hint="eastAsia" w:ascii="仿宋_GB2312" w:hAnsi="仿宋_GB2312" w:eastAsia="仿宋_GB2312" w:cs="仿宋_GB2312"/>
          <w:bCs w:val="0"/>
          <w:color w:val="auto"/>
          <w:szCs w:val="24"/>
          <w:highlight w:val="none"/>
        </w:rPr>
        <w:t>2</w:t>
      </w:r>
      <w:r>
        <w:rPr>
          <w:rFonts w:hint="eastAsia" w:ascii="仿宋_GB2312" w:hAnsi="仿宋_GB2312" w:eastAsia="仿宋_GB2312" w:cs="仿宋_GB2312"/>
          <w:bCs w:val="0"/>
          <w:color w:val="auto"/>
          <w:szCs w:val="24"/>
          <w:highlight w:val="none"/>
          <w:lang w:eastAsia="zh-CN"/>
        </w:rPr>
        <w:t>.</w:t>
      </w:r>
      <w:r>
        <w:rPr>
          <w:rFonts w:hint="eastAsia" w:ascii="仿宋_GB2312" w:hAnsi="仿宋_GB2312" w:eastAsia="仿宋_GB2312" w:cs="仿宋_GB2312"/>
          <w:bCs w:val="0"/>
          <w:color w:val="auto"/>
          <w:szCs w:val="24"/>
          <w:highlight w:val="none"/>
          <w:lang w:val="en-US" w:eastAsia="zh-CN"/>
        </w:rPr>
        <w:t>案例</w:t>
      </w:r>
      <w:r>
        <w:rPr>
          <w:rFonts w:hint="eastAsia" w:ascii="仿宋_GB2312" w:hAnsi="仿宋_GB2312" w:eastAsia="仿宋_GB2312" w:cs="仿宋_GB2312"/>
          <w:bCs w:val="0"/>
          <w:color w:val="auto"/>
          <w:szCs w:val="24"/>
          <w:highlight w:val="none"/>
        </w:rPr>
        <w:t>附件：相关</w:t>
      </w:r>
      <w:r>
        <w:rPr>
          <w:rFonts w:hint="eastAsia" w:ascii="仿宋_GB2312" w:hAnsi="仿宋_GB2312" w:eastAsia="仿宋_GB2312" w:cs="仿宋_GB2312"/>
          <w:bCs w:val="0"/>
          <w:color w:val="auto"/>
          <w:szCs w:val="24"/>
          <w:highlight w:val="none"/>
          <w:lang w:val="en-US" w:eastAsia="zh-CN"/>
        </w:rPr>
        <w:t>支持材料。</w:t>
      </w:r>
    </w:p>
    <w:p>
      <w:pPr>
        <w:widowControl/>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（1）案例文字资料。如：工作方案、制度手册、书籍、校本教材、教学设计或教学案例、论文或论文集、学生作品或作品集、课题研究成果、师生实践评价、相关活动资料等。</w:t>
      </w:r>
    </w:p>
    <w:p>
      <w:p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（2）案例电子资料。如：活动照片、宣传视频等图片、视频资料。</w:t>
      </w:r>
    </w:p>
    <w:p>
      <w:pPr>
        <w:numPr>
          <w:ilvl w:val="0"/>
          <w:numId w:val="0"/>
        </w:numPr>
        <w:spacing w:line="560" w:lineRule="exact"/>
        <w:ind w:firstLine="640" w:firstLineChars="200"/>
        <w:jc w:val="left"/>
        <w:rPr>
          <w:rFonts w:hint="eastAsia" w:ascii="楷体_GB2312" w:hAnsi="楷体_GB2312" w:eastAsia="楷体_GB2312" w:cs="楷体_GB2312"/>
          <w:bCs w:val="0"/>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（二）提交要求</w:t>
      </w:r>
    </w:p>
    <w:p>
      <w:pPr>
        <w:widowControl/>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1.自本通知发布之日起，各校确定提交内容并填写《说明表》（一个案例填写一份，每校报送案例数量不限），于</w:t>
      </w:r>
      <w:r>
        <w:rPr>
          <w:rFonts w:hint="eastAsia" w:ascii="仿宋_GB2312" w:hAnsi="仿宋_GB2312" w:eastAsia="仿宋_GB2312" w:cs="仿宋_GB2312"/>
          <w:color w:val="auto"/>
          <w:sz w:val="32"/>
          <w:szCs w:val="24"/>
          <w:highlight w:val="none"/>
          <w:shd w:val="clear" w:color="auto" w:fill="auto"/>
          <w:lang w:val="en-US" w:eastAsia="zh-CN"/>
        </w:rPr>
        <w:t>2022年7月31日前，以学校为单位发送至邮箱jcjyggsy@bnu.edu.cn</w:t>
      </w:r>
      <w:r>
        <w:rPr>
          <w:rFonts w:hint="eastAsia" w:ascii="仿宋_GB2312" w:hAnsi="仿宋_GB2312" w:eastAsia="仿宋_GB2312" w:cs="仿宋_GB2312"/>
          <w:color w:val="auto"/>
          <w:sz w:val="32"/>
          <w:szCs w:val="24"/>
          <w:highlight w:val="none"/>
          <w:lang w:val="en-US" w:eastAsia="zh-CN"/>
        </w:rPr>
        <w:t>，邮件主题为“学校名称+德育一体化征集活动”。</w:t>
      </w:r>
    </w:p>
    <w:p>
      <w:pPr>
        <w:widowControl/>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2.案例相关支持性文字、图片、视频资料，请随《说明表》打包发送。如支持材料过大，可生成百度网盘分享链接，附于邮件正文部分发送。</w:t>
      </w:r>
    </w:p>
    <w:p>
      <w:pPr>
        <w:widowControl/>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p>
    <w:p>
      <w:pPr>
        <w:numPr>
          <w:ilvl w:val="0"/>
          <w:numId w:val="0"/>
        </w:numPr>
        <w:spacing w:line="560" w:lineRule="exact"/>
        <w:ind w:firstLine="640" w:firstLineChars="200"/>
        <w:rPr>
          <w:rFonts w:hint="eastAsia"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lang w:val="en-US" w:eastAsia="zh-CN"/>
        </w:rPr>
        <w:t>四、案例运用</w:t>
      </w:r>
    </w:p>
    <w:p>
      <w:pPr>
        <w:widowControl/>
        <w:numPr>
          <w:ilvl w:val="0"/>
          <w:numId w:val="0"/>
        </w:num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1.基础教育发展管理部将组织专家对案例进行评价，优秀案例将</w:t>
      </w:r>
      <w:r>
        <w:rPr>
          <w:rFonts w:hint="eastAsia" w:ascii="仿宋_GB2312" w:hAnsi="仿宋_GB2312" w:eastAsia="仿宋_GB2312" w:cs="仿宋_GB2312"/>
          <w:color w:val="auto"/>
          <w:sz w:val="32"/>
          <w:szCs w:val="24"/>
          <w:highlight w:val="none"/>
          <w:shd w:val="clear" w:color="auto" w:fill="auto"/>
          <w:lang w:val="en-US" w:eastAsia="zh-CN"/>
        </w:rPr>
        <w:t>颁发“中小学德育一体化优秀实践案例”证书</w:t>
      </w:r>
      <w:r>
        <w:rPr>
          <w:rFonts w:hint="eastAsia" w:ascii="仿宋_GB2312" w:hAnsi="仿宋_GB2312" w:eastAsia="仿宋_GB2312" w:cs="仿宋_GB2312"/>
          <w:color w:val="auto"/>
          <w:sz w:val="32"/>
          <w:szCs w:val="24"/>
          <w:highlight w:val="none"/>
          <w:lang w:val="en-US" w:eastAsia="zh-CN"/>
        </w:rPr>
        <w:t>，并采取多种措施，积极对优秀案例成果进行总结、提炼，加强宣传和推广，以充分发挥其实践作用。</w:t>
      </w:r>
    </w:p>
    <w:p>
      <w:pPr>
        <w:widowControl/>
        <w:numPr>
          <w:ilvl w:val="0"/>
          <w:numId w:val="0"/>
        </w:num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2.部分优秀案例经遴选后将形成案例汇编，有机会推荐发表至报纸、期刊、杂志、公众号、视频号等媒体平台。</w:t>
      </w:r>
    </w:p>
    <w:p>
      <w:pPr>
        <w:widowControl/>
        <w:numPr>
          <w:ilvl w:val="0"/>
          <w:numId w:val="0"/>
        </w:num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3.部分优秀案例经遴选后可获得参与基础教育发展管理部相关线上线下活动的机会。</w:t>
      </w:r>
    </w:p>
    <w:p>
      <w:pPr>
        <w:widowControl/>
        <w:numPr>
          <w:ilvl w:val="0"/>
          <w:numId w:val="0"/>
        </w:numPr>
        <w:spacing w:line="560" w:lineRule="exact"/>
        <w:ind w:firstLine="640" w:firstLineChars="200"/>
        <w:jc w:val="both"/>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shd w:val="clear" w:color="auto" w:fill="auto"/>
          <w:lang w:val="en-US" w:eastAsia="zh-CN"/>
        </w:rPr>
        <w:t>4.案例研究成果归学校项目组所有，基础教育发展管理部有权将案例成果应用于相关公益活动。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TU5NjMyN2QzZDNiNjI2YTU2MzBmYzJkYzYyZTgifQ=="/>
  </w:docVars>
  <w:rsids>
    <w:rsidRoot w:val="528C5418"/>
    <w:rsid w:val="02B86CB9"/>
    <w:rsid w:val="0C636FE2"/>
    <w:rsid w:val="197F01DE"/>
    <w:rsid w:val="22842C48"/>
    <w:rsid w:val="36183A1B"/>
    <w:rsid w:val="3AEB3CE7"/>
    <w:rsid w:val="50370B8E"/>
    <w:rsid w:val="51431D30"/>
    <w:rsid w:val="528C5418"/>
    <w:rsid w:val="559C01BD"/>
    <w:rsid w:val="5899631B"/>
    <w:rsid w:val="5C2D4CF4"/>
    <w:rsid w:val="650F0E68"/>
    <w:rsid w:val="65595C2A"/>
    <w:rsid w:val="6B666CC1"/>
    <w:rsid w:val="71394DC1"/>
    <w:rsid w:val="76E27573"/>
    <w:rsid w:val="7DF8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9"/>
    <w:qFormat/>
    <w:uiPriority w:val="0"/>
    <w:pPr>
      <w:keepNext/>
      <w:keepLines/>
      <w:spacing w:before="60" w:after="60" w:line="300" w:lineRule="auto"/>
      <w:ind w:firstLine="0" w:firstLineChars="0"/>
      <w:jc w:val="center"/>
      <w:outlineLvl w:val="0"/>
    </w:pPr>
    <w:rPr>
      <w:rFonts w:eastAsia="宋体" w:asciiTheme="minorAscii" w:hAnsiTheme="minorAscii"/>
      <w:b/>
      <w:bCs/>
      <w:kern w:val="44"/>
      <w:sz w:val="32"/>
      <w:szCs w:val="44"/>
    </w:rPr>
  </w:style>
  <w:style w:type="paragraph" w:styleId="3">
    <w:name w:val="heading 2"/>
    <w:basedOn w:val="1"/>
    <w:next w:val="1"/>
    <w:link w:val="10"/>
    <w:semiHidden/>
    <w:unhideWhenUsed/>
    <w:qFormat/>
    <w:uiPriority w:val="0"/>
    <w:pPr>
      <w:keepNext/>
      <w:keepLines/>
      <w:spacing w:before="180" w:after="180" w:line="300" w:lineRule="auto"/>
      <w:ind w:firstLine="0" w:firstLineChars="0"/>
      <w:jc w:val="left"/>
      <w:outlineLvl w:val="1"/>
    </w:pPr>
    <w:rPr>
      <w:rFonts w:ascii="Arial" w:hAnsi="Arial" w:eastAsia="楷体" w:cs="Times New Roman"/>
      <w:b/>
      <w:sz w:val="28"/>
      <w:szCs w:val="24"/>
      <w:lang w:val="en-US" w:bidi="ar-SA"/>
    </w:rPr>
  </w:style>
  <w:style w:type="paragraph" w:styleId="4">
    <w:name w:val="heading 3"/>
    <w:basedOn w:val="1"/>
    <w:next w:val="1"/>
    <w:link w:val="11"/>
    <w:semiHidden/>
    <w:unhideWhenUsed/>
    <w:qFormat/>
    <w:uiPriority w:val="0"/>
    <w:pPr>
      <w:keepNext/>
      <w:keepLines/>
      <w:spacing w:before="60" w:after="60" w:line="300" w:lineRule="auto"/>
      <w:outlineLvl w:val="2"/>
    </w:pPr>
    <w:rPr>
      <w:rFonts w:ascii="Calibri" w:hAnsi="Calibri" w:cs="Times New Roman"/>
      <w:b/>
      <w:bCs/>
      <w:sz w:val="24"/>
      <w:szCs w:val="32"/>
      <w:lang w:val="en-US" w:bidi="ar-SA"/>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eastAsia="宋体"/>
      <w:sz w:val="28"/>
    </w:rPr>
  </w:style>
  <w:style w:type="paragraph" w:styleId="6">
    <w:name w:val="footnote text"/>
    <w:basedOn w:val="1"/>
    <w:qFormat/>
    <w:uiPriority w:val="0"/>
    <w:pPr>
      <w:snapToGrid w:val="0"/>
      <w:spacing w:line="288" w:lineRule="auto"/>
      <w:jc w:val="left"/>
    </w:pPr>
    <w:rPr>
      <w:sz w:val="18"/>
    </w:rPr>
  </w:style>
  <w:style w:type="character" w:customStyle="1" w:styleId="9">
    <w:name w:val="标题 1 字符"/>
    <w:basedOn w:val="8"/>
    <w:link w:val="2"/>
    <w:qFormat/>
    <w:uiPriority w:val="0"/>
    <w:rPr>
      <w:rFonts w:eastAsia="宋体" w:asciiTheme="minorAscii" w:hAnsiTheme="minorAscii"/>
      <w:b/>
      <w:bCs/>
      <w:kern w:val="44"/>
      <w:sz w:val="32"/>
      <w:szCs w:val="44"/>
    </w:rPr>
  </w:style>
  <w:style w:type="character" w:customStyle="1" w:styleId="10">
    <w:name w:val="标题 2 字符"/>
    <w:basedOn w:val="8"/>
    <w:link w:val="3"/>
    <w:qFormat/>
    <w:uiPriority w:val="0"/>
    <w:rPr>
      <w:rFonts w:ascii="Arial" w:hAnsi="Arial" w:eastAsia="楷体" w:cs="Times New Roman"/>
      <w:b/>
      <w:sz w:val="28"/>
      <w:szCs w:val="24"/>
      <w:lang w:val="en-US" w:bidi="ar-SA"/>
    </w:rPr>
  </w:style>
  <w:style w:type="character" w:customStyle="1" w:styleId="11">
    <w:name w:val="标题 3 字符"/>
    <w:basedOn w:val="8"/>
    <w:link w:val="4"/>
    <w:qFormat/>
    <w:uiPriority w:val="0"/>
    <w:rPr>
      <w:rFonts w:ascii="Calibri" w:hAnsi="Calibri" w:eastAsia="宋体" w:cs="Times New Roman"/>
      <w:b/>
      <w:bCs/>
      <w:sz w:val="24"/>
      <w:szCs w:val="32"/>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2022-09-05T10:36:00Z</dcterms:created>
  <dc:creator>Nathan 장율철</dc:creator>
  <cp:lastModifiedBy>Nathan 장율철</cp:lastModifiedBy>
  <dcterms:modified xsi:type="dcterms:W3CDTF">2022-09-05T10:36:53Z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F88A8708CB1F452DB75B1DCB3FCDC79B</vt:lpwstr>
  </property>
</Properties>
</file>